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13D" w:rsidRDefault="0058413D" w:rsidP="0058413D">
      <w:pPr>
        <w:jc w:val="center"/>
      </w:pPr>
    </w:p>
    <w:p w:rsidR="0058413D" w:rsidRDefault="0058413D" w:rsidP="0058413D">
      <w:pPr>
        <w:jc w:val="center"/>
      </w:pPr>
    </w:p>
    <w:p w:rsidR="0058413D" w:rsidRDefault="0058413D" w:rsidP="0058413D">
      <w:pPr>
        <w:jc w:val="center"/>
      </w:pPr>
    </w:p>
    <w:p w:rsidR="0058413D" w:rsidRDefault="0058413D" w:rsidP="0058413D">
      <w:pPr>
        <w:jc w:val="center"/>
      </w:pPr>
    </w:p>
    <w:p w:rsidR="0058413D" w:rsidRDefault="0058413D" w:rsidP="0058413D">
      <w:pPr>
        <w:jc w:val="center"/>
      </w:pPr>
    </w:p>
    <w:p w:rsidR="0058413D" w:rsidRDefault="0058413D" w:rsidP="0058413D">
      <w:pPr>
        <w:jc w:val="center"/>
      </w:pPr>
    </w:p>
    <w:p w:rsidR="009779B8" w:rsidRDefault="009B2A38" w:rsidP="0058413D">
      <w:pPr>
        <w:jc w:val="center"/>
      </w:pPr>
      <w:r>
        <w:t xml:space="preserve">Protecting Scope of Practice </w:t>
      </w:r>
      <w:r w:rsidR="00F01D2D">
        <w:t>of APRN</w:t>
      </w:r>
    </w:p>
    <w:p w:rsidR="007D2376" w:rsidRDefault="009B2A38" w:rsidP="0058413D">
      <w:pPr>
        <w:jc w:val="center"/>
      </w:pPr>
      <w:r>
        <w:t>Name</w:t>
      </w:r>
    </w:p>
    <w:p w:rsidR="007D2376" w:rsidRDefault="009B2A38" w:rsidP="0058413D">
      <w:pPr>
        <w:jc w:val="center"/>
      </w:pPr>
      <w:r>
        <w:t>Institution of Affiliation</w:t>
      </w:r>
    </w:p>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58413D" w:rsidRDefault="0058413D" w:rsidP="007D2376"/>
    <w:p w:rsidR="007D2376" w:rsidRDefault="009B2A38" w:rsidP="0058413D">
      <w:pPr>
        <w:jc w:val="center"/>
      </w:pPr>
      <w:r>
        <w:lastRenderedPageBreak/>
        <w:t xml:space="preserve">Protecting Scope of Practice </w:t>
      </w:r>
      <w:r w:rsidR="00F01D2D">
        <w:t>APRN</w:t>
      </w:r>
    </w:p>
    <w:p w:rsidR="007D2376" w:rsidRDefault="009B2A38" w:rsidP="0058413D">
      <w:pPr>
        <w:ind w:firstLine="720"/>
      </w:pPr>
      <w:r>
        <w:t>America Nurses Association</w:t>
      </w:r>
      <w:r w:rsidR="00586805">
        <w:t xml:space="preserve"> (ANA)</w:t>
      </w:r>
      <w:r>
        <w:t xml:space="preserve"> is a body that protects and upholds the rights of all nurses in the United States of America. The body recognizes the </w:t>
      </w:r>
      <w:r>
        <w:t>increasing needs of healthcare services by the Americans and hence the need to expand nurses</w:t>
      </w:r>
      <w:r w:rsidR="00586805">
        <w:t>’</w:t>
      </w:r>
      <w:r>
        <w:t xml:space="preserve"> practice</w:t>
      </w:r>
      <w:r w:rsidR="00524544">
        <w:t xml:space="preserve"> (</w:t>
      </w:r>
      <w:r w:rsidR="00524544">
        <w:rPr>
          <w:rFonts w:eastAsia="Times New Roman" w:cs="Times New Roman"/>
          <w:szCs w:val="24"/>
        </w:rPr>
        <w:t>Lofgren et al., 2017).</w:t>
      </w:r>
      <w:r>
        <w:t xml:space="preserve"> This has occasioned the ANA to establish and recognize specialties in nursing that provide the much needed specialized healthcare </w:t>
      </w:r>
      <w:r>
        <w:t>services among the Americans. Of important is the advanced pract</w:t>
      </w:r>
      <w:r w:rsidR="00586805">
        <w:t>ice registered nurses (APRN) who</w:t>
      </w:r>
      <w:bookmarkStart w:id="0" w:name="_GoBack"/>
      <w:bookmarkEnd w:id="0"/>
      <w:r>
        <w:t xml:space="preserve"> have a special training and skills in the various field of healthcare. Examples include </w:t>
      </w:r>
      <w:r w:rsidRPr="00E67031">
        <w:t>Cer</w:t>
      </w:r>
      <w:r w:rsidR="00524544">
        <w:t>tified Nurse Practitioners</w:t>
      </w:r>
      <w:r w:rsidRPr="00E67031">
        <w:t>, Certified Regis</w:t>
      </w:r>
      <w:r w:rsidR="00524544">
        <w:t>tered Nurse Anesthetists</w:t>
      </w:r>
      <w:r w:rsidRPr="00E67031">
        <w:t>,</w:t>
      </w:r>
      <w:r w:rsidRPr="00E67031">
        <w:t xml:space="preserve"> </w:t>
      </w:r>
      <w:r w:rsidR="00524544">
        <w:t>Clinical Nurse Specialists</w:t>
      </w:r>
      <w:r w:rsidRPr="00E67031">
        <w:t>, and</w:t>
      </w:r>
      <w:r w:rsidR="00524544">
        <w:t xml:space="preserve"> Certified Nurse Midwives (</w:t>
      </w:r>
      <w:r w:rsidR="00524544">
        <w:rPr>
          <w:rFonts w:eastAsia="Times New Roman" w:cs="Times New Roman"/>
          <w:szCs w:val="24"/>
        </w:rPr>
        <w:t xml:space="preserve">Martsolf, Arifkhanova &amp; Auerbach, </w:t>
      </w:r>
      <w:r w:rsidR="00524544" w:rsidRPr="00E831B4">
        <w:rPr>
          <w:rFonts w:eastAsia="Times New Roman" w:cs="Times New Roman"/>
          <w:szCs w:val="24"/>
        </w:rPr>
        <w:t>2015)</w:t>
      </w:r>
      <w:r w:rsidRPr="00E67031">
        <w:t>.</w:t>
      </w:r>
      <w:r>
        <w:t xml:space="preserve"> There are limitations as to the extent to which this specialized nurses can practice and provide their services. Every state has its laws and regulations th</w:t>
      </w:r>
      <w:r>
        <w:t xml:space="preserve">at regulate APRN practice.  The ANA is, therefore, working together with other members in the various states to ensure that the APRN is not limited to their scope of practice geographically. </w:t>
      </w:r>
      <w:r w:rsidR="00FC535E">
        <w:t>The growing number of evidence that supports the removal of barrier and restriction for the practice of the APRN has motivated ANA in pushing health bodies like National Governors Association, Institute of Medicine, Veteran Health Association to end the barriers that restrict their practice</w:t>
      </w:r>
      <w:r w:rsidR="00524544">
        <w:t xml:space="preserve"> (</w:t>
      </w:r>
      <w:r w:rsidR="00524544">
        <w:rPr>
          <w:rFonts w:eastAsia="Times New Roman" w:cs="Times New Roman"/>
          <w:szCs w:val="24"/>
        </w:rPr>
        <w:t xml:space="preserve">Ahmed &amp; Wolf, </w:t>
      </w:r>
      <w:r w:rsidR="00524544" w:rsidRPr="00E831B4">
        <w:rPr>
          <w:rFonts w:eastAsia="Times New Roman" w:cs="Times New Roman"/>
          <w:szCs w:val="24"/>
        </w:rPr>
        <w:t>2018)</w:t>
      </w:r>
      <w:r w:rsidR="00FC535E">
        <w:t>. ANA and the various state nurses association have a duty of working together to ensure that the barriers and restrictions against the APRN scope of practice are eliminated to allow free practice as long as they have the qualifications in terms of knowledge, skills and the licensure.</w:t>
      </w:r>
    </w:p>
    <w:p w:rsidR="00FC535E" w:rsidRDefault="009B2A38" w:rsidP="0058413D">
      <w:pPr>
        <w:ind w:firstLine="720"/>
      </w:pPr>
      <w:r>
        <w:t>In the future practice as an APRN specialist in the state of Maryland, the initiative by the ANA will ensure that one is able to fully practice with no restriction. This is because the state will have recognized that an APRN is special</w:t>
      </w:r>
      <w:r>
        <w:t xml:space="preserve">ized in a certain specific area and therefore </w:t>
      </w:r>
      <w:r>
        <w:lastRenderedPageBreak/>
        <w:t>competent enough to provide the healthcare service</w:t>
      </w:r>
      <w:r w:rsidR="00524544">
        <w:t xml:space="preserve"> (</w:t>
      </w:r>
      <w:r w:rsidR="00524544">
        <w:rPr>
          <w:rFonts w:eastAsia="Times New Roman" w:cs="Times New Roman"/>
          <w:szCs w:val="24"/>
        </w:rPr>
        <w:t xml:space="preserve">Ahmed &amp; Wolf, </w:t>
      </w:r>
      <w:r w:rsidR="00524544" w:rsidRPr="00E831B4">
        <w:rPr>
          <w:rFonts w:eastAsia="Times New Roman" w:cs="Times New Roman"/>
          <w:szCs w:val="24"/>
        </w:rPr>
        <w:t>2018)</w:t>
      </w:r>
      <w:r>
        <w:t>. The initi</w:t>
      </w:r>
      <w:r w:rsidR="005237A5">
        <w:t>ative by the ANA to remove all the restrictions regarding APRN practice in Maryland will provide one with an opportunity to competently provide clinical practice to the clients who may be needing such services. The initiative will also ensure that proper regulations are put in place so that only qualified nurses are able to practice hence protecting the patients from any incompetent healthcare workers. The initiative will further promote the local authorities to express confidence in the APRN in their practice hence abolish any limitations in their practice</w:t>
      </w:r>
      <w:r w:rsidR="00524544">
        <w:t xml:space="preserve"> (</w:t>
      </w:r>
      <w:r w:rsidR="00524544">
        <w:rPr>
          <w:rFonts w:eastAsia="Times New Roman" w:cs="Times New Roman"/>
          <w:szCs w:val="24"/>
        </w:rPr>
        <w:t>Lofgren et al., 2017)</w:t>
      </w:r>
      <w:r w:rsidR="005237A5">
        <w:t xml:space="preserve">. This means that the APRN is able to practice independently without having to be supervised by a physician or even </w:t>
      </w:r>
      <w:r w:rsidR="00E831B4">
        <w:t>consulting</w:t>
      </w:r>
      <w:r w:rsidR="005237A5">
        <w:t xml:space="preserve"> a physician before carrying out a procedure for which </w:t>
      </w:r>
      <w:r w:rsidR="00E831B4">
        <w:t xml:space="preserve">they have skills and competence. </w:t>
      </w:r>
    </w:p>
    <w:p w:rsidR="0058413D" w:rsidRDefault="0058413D"/>
    <w:p w:rsidR="0058413D" w:rsidRDefault="0058413D"/>
    <w:p w:rsidR="0058413D" w:rsidRDefault="0058413D"/>
    <w:p w:rsidR="0058413D" w:rsidRDefault="0058413D"/>
    <w:p w:rsidR="0058413D" w:rsidRDefault="0058413D"/>
    <w:p w:rsidR="0058413D" w:rsidRDefault="0058413D"/>
    <w:p w:rsidR="0058413D" w:rsidRDefault="0058413D"/>
    <w:p w:rsidR="0058413D" w:rsidRDefault="0058413D"/>
    <w:p w:rsidR="0058413D" w:rsidRDefault="0058413D"/>
    <w:p w:rsidR="0058413D" w:rsidRDefault="0058413D"/>
    <w:p w:rsidR="0058413D" w:rsidRDefault="0058413D"/>
    <w:p w:rsidR="0058413D" w:rsidRDefault="0058413D"/>
    <w:p w:rsidR="0058413D" w:rsidRDefault="0058413D"/>
    <w:p w:rsidR="00E831B4" w:rsidRDefault="009B2A38" w:rsidP="0058413D">
      <w:pPr>
        <w:jc w:val="center"/>
      </w:pPr>
      <w:r>
        <w:lastRenderedPageBreak/>
        <w:t>References</w:t>
      </w:r>
    </w:p>
    <w:p w:rsidR="0058413D" w:rsidRPr="00E831B4" w:rsidRDefault="0058413D" w:rsidP="0058413D">
      <w:pPr>
        <w:ind w:left="720" w:hanging="720"/>
        <w:rPr>
          <w:rFonts w:eastAsia="Times New Roman" w:cs="Times New Roman"/>
          <w:szCs w:val="24"/>
        </w:rPr>
      </w:pPr>
      <w:r w:rsidRPr="00E831B4">
        <w:rPr>
          <w:rFonts w:eastAsia="Times New Roman" w:cs="Times New Roman"/>
          <w:szCs w:val="24"/>
        </w:rPr>
        <w:t xml:space="preserve">Ahmed, S. W., &amp; Wolf, K. A. (2018). Evolution to Revolution: Positioning Advanced Practice to Influence Contemporary Healthcare Arenas. </w:t>
      </w:r>
      <w:r w:rsidRPr="00E831B4">
        <w:rPr>
          <w:rFonts w:eastAsia="Times New Roman" w:cs="Times New Roman"/>
          <w:i/>
          <w:iCs/>
          <w:szCs w:val="24"/>
        </w:rPr>
        <w:t>DNP Education, Practice, and Policy: Redesigning Advanced Practice for the 21st Century</w:t>
      </w:r>
      <w:r w:rsidRPr="00E831B4">
        <w:rPr>
          <w:rFonts w:eastAsia="Times New Roman" w:cs="Times New Roman"/>
          <w:szCs w:val="24"/>
        </w:rPr>
        <w:t>, 3.</w:t>
      </w:r>
    </w:p>
    <w:p w:rsidR="0058413D" w:rsidRPr="00E831B4" w:rsidRDefault="0058413D" w:rsidP="0058413D">
      <w:pPr>
        <w:ind w:left="720" w:hanging="720"/>
        <w:rPr>
          <w:rFonts w:eastAsia="Times New Roman" w:cs="Times New Roman"/>
          <w:szCs w:val="24"/>
        </w:rPr>
      </w:pPr>
      <w:r w:rsidRPr="00E831B4">
        <w:rPr>
          <w:rFonts w:eastAsia="Times New Roman" w:cs="Times New Roman"/>
          <w:szCs w:val="24"/>
        </w:rPr>
        <w:t xml:space="preserve">Lofgren, M. A., Berends, S. K., Reyes, J., Wycoff, C., Kinnetz, M., Frohling, A., ... &amp; O'brien, M. (2017). Scope of practice barriers for advanced practice registered nurses: a state task force to minimize barriers. </w:t>
      </w:r>
      <w:r w:rsidRPr="00E831B4">
        <w:rPr>
          <w:rFonts w:eastAsia="Times New Roman" w:cs="Times New Roman"/>
          <w:i/>
          <w:iCs/>
          <w:szCs w:val="24"/>
        </w:rPr>
        <w:t>Journal of Nursing Administration</w:t>
      </w:r>
      <w:r w:rsidRPr="00E831B4">
        <w:rPr>
          <w:rFonts w:eastAsia="Times New Roman" w:cs="Times New Roman"/>
          <w:szCs w:val="24"/>
        </w:rPr>
        <w:t xml:space="preserve">, </w:t>
      </w:r>
      <w:r w:rsidRPr="00E831B4">
        <w:rPr>
          <w:rFonts w:eastAsia="Times New Roman" w:cs="Times New Roman"/>
          <w:i/>
          <w:iCs/>
          <w:szCs w:val="24"/>
        </w:rPr>
        <w:t>47</w:t>
      </w:r>
      <w:r w:rsidRPr="00E831B4">
        <w:rPr>
          <w:rFonts w:eastAsia="Times New Roman" w:cs="Times New Roman"/>
          <w:szCs w:val="24"/>
        </w:rPr>
        <w:t>(9), 465-469.</w:t>
      </w:r>
    </w:p>
    <w:p w:rsidR="0058413D" w:rsidRPr="00E831B4" w:rsidRDefault="0058413D" w:rsidP="0058413D">
      <w:pPr>
        <w:ind w:left="720" w:hanging="720"/>
        <w:rPr>
          <w:rFonts w:eastAsia="Times New Roman" w:cs="Times New Roman"/>
          <w:szCs w:val="24"/>
        </w:rPr>
      </w:pPr>
      <w:r w:rsidRPr="00E831B4">
        <w:rPr>
          <w:rFonts w:eastAsia="Times New Roman" w:cs="Times New Roman"/>
          <w:szCs w:val="24"/>
        </w:rPr>
        <w:t xml:space="preserve">Martsolf, G., Arifkhanova, A., &amp; Auerbach, D. I. (2015). </w:t>
      </w:r>
      <w:r w:rsidRPr="00E831B4">
        <w:rPr>
          <w:rFonts w:eastAsia="Times New Roman" w:cs="Times New Roman"/>
          <w:i/>
          <w:iCs/>
          <w:szCs w:val="24"/>
        </w:rPr>
        <w:t>The impact of full practice authority for nurse practitioners and other advanced practice registered nurses in Ohio</w:t>
      </w:r>
      <w:r w:rsidRPr="00E831B4">
        <w:rPr>
          <w:rFonts w:eastAsia="Times New Roman" w:cs="Times New Roman"/>
          <w:szCs w:val="24"/>
        </w:rPr>
        <w:t>. Santa Monica, CA: Rand Corporation.</w:t>
      </w:r>
    </w:p>
    <w:p w:rsidR="00E831B4" w:rsidRDefault="00E831B4"/>
    <w:p w:rsidR="00E831B4" w:rsidRDefault="00E831B4"/>
    <w:sectPr w:rsidR="00E831B4" w:rsidSect="005841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A38" w:rsidRDefault="009B2A38" w:rsidP="0058413D">
      <w:pPr>
        <w:spacing w:line="240" w:lineRule="auto"/>
      </w:pPr>
      <w:r>
        <w:separator/>
      </w:r>
    </w:p>
  </w:endnote>
  <w:endnote w:type="continuationSeparator" w:id="0">
    <w:p w:rsidR="009B2A38" w:rsidRDefault="009B2A38" w:rsidP="005841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A38" w:rsidRDefault="009B2A38" w:rsidP="0058413D">
      <w:pPr>
        <w:spacing w:line="240" w:lineRule="auto"/>
      </w:pPr>
      <w:r>
        <w:separator/>
      </w:r>
    </w:p>
  </w:footnote>
  <w:footnote w:type="continuationSeparator" w:id="0">
    <w:p w:rsidR="009B2A38" w:rsidRDefault="009B2A38" w:rsidP="0058413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13D" w:rsidRDefault="0058413D">
    <w:pPr>
      <w:pStyle w:val="Header"/>
      <w:jc w:val="right"/>
    </w:pPr>
    <w:r>
      <w:t>PROTECTING SCOPE OF PRACTICE OF APRN</w:t>
    </w:r>
    <w:r>
      <w:t xml:space="preserve">                                                                      </w:t>
    </w:r>
    <w:sdt>
      <w:sdtPr>
        <w:id w:val="-1803550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6805">
          <w:rPr>
            <w:noProof/>
          </w:rPr>
          <w:t>4</w:t>
        </w:r>
        <w:r>
          <w:rPr>
            <w:noProof/>
          </w:rPr>
          <w:fldChar w:fldCharType="end"/>
        </w:r>
      </w:sdtContent>
    </w:sdt>
  </w:p>
  <w:p w:rsidR="0058413D" w:rsidRDefault="005841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13D" w:rsidRDefault="0058413D" w:rsidP="0058413D">
    <w:r>
      <w:t xml:space="preserve">Running head: PROTECTING SCOPE OF PRACTICE OF APRN                                              </w:t>
    </w:r>
    <w:sdt>
      <w:sdtPr>
        <w:id w:val="-928885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6805">
          <w:rPr>
            <w:noProof/>
          </w:rPr>
          <w:t>1</w:t>
        </w:r>
        <w:r>
          <w:rPr>
            <w:noProof/>
          </w:rPr>
          <w:fldChar w:fldCharType="end"/>
        </w:r>
      </w:sdtContent>
    </w:sdt>
  </w:p>
  <w:p w:rsidR="0058413D" w:rsidRDefault="00584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376"/>
    <w:rsid w:val="005237A5"/>
    <w:rsid w:val="00524544"/>
    <w:rsid w:val="0058413D"/>
    <w:rsid w:val="00586805"/>
    <w:rsid w:val="007D2376"/>
    <w:rsid w:val="009779B8"/>
    <w:rsid w:val="009B2A38"/>
    <w:rsid w:val="00E67031"/>
    <w:rsid w:val="00E831B4"/>
    <w:rsid w:val="00F01D2D"/>
    <w:rsid w:val="00FC5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8953A-FB2A-4683-9126-526C1A83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13D"/>
    <w:pPr>
      <w:tabs>
        <w:tab w:val="center" w:pos="4680"/>
        <w:tab w:val="right" w:pos="9360"/>
      </w:tabs>
      <w:spacing w:line="240" w:lineRule="auto"/>
    </w:pPr>
  </w:style>
  <w:style w:type="character" w:customStyle="1" w:styleId="HeaderChar">
    <w:name w:val="Header Char"/>
    <w:basedOn w:val="DefaultParagraphFont"/>
    <w:link w:val="Header"/>
    <w:uiPriority w:val="99"/>
    <w:rsid w:val="0058413D"/>
  </w:style>
  <w:style w:type="paragraph" w:styleId="Footer">
    <w:name w:val="footer"/>
    <w:basedOn w:val="Normal"/>
    <w:link w:val="FooterChar"/>
    <w:uiPriority w:val="99"/>
    <w:unhideWhenUsed/>
    <w:rsid w:val="0058413D"/>
    <w:pPr>
      <w:tabs>
        <w:tab w:val="center" w:pos="4680"/>
        <w:tab w:val="right" w:pos="9360"/>
      </w:tabs>
      <w:spacing w:line="240" w:lineRule="auto"/>
    </w:pPr>
  </w:style>
  <w:style w:type="character" w:customStyle="1" w:styleId="FooterChar">
    <w:name w:val="Footer Char"/>
    <w:basedOn w:val="DefaultParagraphFont"/>
    <w:link w:val="Footer"/>
    <w:uiPriority w:val="99"/>
    <w:rsid w:val="00584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2018-07-08T21:07:00Z</dcterms:created>
  <dcterms:modified xsi:type="dcterms:W3CDTF">2018-07-08T21:12:00Z</dcterms:modified>
</cp:coreProperties>
</file>